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48D8" w14:textId="5B06A554" w:rsidR="00B123FF" w:rsidRPr="00455A3C" w:rsidRDefault="004E4ED5" w:rsidP="00F60A53">
      <w:pPr>
        <w:pStyle w:val="F2-zkladn"/>
        <w:spacing w:line="276" w:lineRule="auto"/>
        <w:rPr>
          <w:b/>
          <w:sz w:val="28"/>
          <w:szCs w:val="28"/>
        </w:rPr>
      </w:pPr>
      <w:r>
        <w:rPr>
          <w:b/>
          <w:sz w:val="28"/>
          <w:szCs w:val="28"/>
        </w:rPr>
        <w:t>ANALÝZA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0896B55B"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E4ED5">
        <w:t>25</w:t>
      </w:r>
      <w:r w:rsidR="005420B4" w:rsidRPr="00893890">
        <w:t>.</w:t>
      </w:r>
      <w:r w:rsidR="00296EFF">
        <w:t xml:space="preserve"> </w:t>
      </w:r>
      <w:r w:rsidR="00C4206E">
        <w:t>ledna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2E27F1DD" w:rsidR="00E76BE0" w:rsidRPr="00725F39" w:rsidRDefault="00C4206E"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4E4ED5">
        <w:rPr>
          <w:rStyle w:val="normaltextrun"/>
          <w:rFonts w:ascii="Arial" w:hAnsi="Arial" w:cs="Arial"/>
          <w:b/>
          <w:bCs/>
          <w:color w:val="000000"/>
          <w:sz w:val="28"/>
          <w:szCs w:val="28"/>
          <w:lang w:val="cs-CZ"/>
        </w:rPr>
        <w:t>Čínský trh s hotely jako výnosný byznys</w:t>
      </w:r>
    </w:p>
    <w:p w14:paraId="53FBF2B2" w14:textId="2FBCE386" w:rsidR="007E4CDB" w:rsidRPr="007E4CDB" w:rsidRDefault="004E4ED5"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Expanze předních čínských značek hotelů může vzhledem k ekonomické situaci vypadat šíleně, ale tento sektor vstupuje do fáze konsolidace, což si žádný z velkých hráčů nemůže dovolit promeškat.</w:t>
      </w:r>
    </w:p>
    <w:p w14:paraId="5B29ECA9" w14:textId="5E37367D" w:rsidR="004E4ED5" w:rsidRDefault="004E4ED5" w:rsidP="004E4ED5">
      <w:pPr>
        <w:rPr>
          <w:bCs/>
        </w:rPr>
      </w:pPr>
      <w:r>
        <w:rPr>
          <w:bCs/>
        </w:rPr>
        <w:t>Může se zdát, že pro čínské firmy není vhodná doba na radikální růstové strategie. Země se potýká s řadou špatných ekonomických znamení, od nízké spotřeby po slabou aktivitu podniků.</w:t>
      </w:r>
    </w:p>
    <w:p w14:paraId="43DC2DDA" w14:textId="77777777" w:rsidR="00D00B5B" w:rsidRPr="004E4ED5" w:rsidRDefault="00D00B5B" w:rsidP="00D00B5B">
      <w:pPr>
        <w:spacing w:after="210" w:line="276" w:lineRule="auto"/>
        <w:rPr>
          <w:bCs/>
        </w:rPr>
      </w:pPr>
      <w:r w:rsidRPr="004E4ED5">
        <w:rPr>
          <w:bCs/>
        </w:rPr>
        <w:t>Čínští hoteloví giganti ale přesto agresivně rozšiřují své hotelové sítě po celé zemi a zaměřují se na získávání nových franšíz. Nejméně dva ze čtyř největších hráčů plánují v roce 2024 dvouciferný růst počtu svých hotelů, přičemž jeden z nich chce expandovat přibližně o třetinu.</w:t>
      </w:r>
    </w:p>
    <w:p w14:paraId="5929C962" w14:textId="608CE0A0" w:rsidR="004E4ED5" w:rsidRPr="004E4ED5" w:rsidRDefault="004E4ED5" w:rsidP="004E4ED5">
      <w:pPr>
        <w:pStyle w:val="F2-zkladn"/>
        <w:rPr>
          <w:rFonts w:asciiTheme="minorHAnsi" w:hAnsiTheme="minorHAnsi" w:cstheme="minorHAnsi"/>
          <w:b/>
          <w:bCs/>
          <w:sz w:val="24"/>
          <w:szCs w:val="24"/>
        </w:rPr>
      </w:pPr>
      <w:r w:rsidRPr="004E4ED5">
        <w:rPr>
          <w:noProof/>
        </w:rPr>
        <w:drawing>
          <wp:anchor distT="0" distB="0" distL="114300" distR="114300" simplePos="0" relativeHeight="251659264" behindDoc="0" locked="0" layoutInCell="1" allowOverlap="1" wp14:anchorId="72C374CA" wp14:editId="59006E8F">
            <wp:simplePos x="0" y="0"/>
            <wp:positionH relativeFrom="column">
              <wp:posOffset>3810</wp:posOffset>
            </wp:positionH>
            <wp:positionV relativeFrom="paragraph">
              <wp:posOffset>476885</wp:posOffset>
            </wp:positionV>
            <wp:extent cx="5759450" cy="4732655"/>
            <wp:effectExtent l="0" t="0" r="0" b="0"/>
            <wp:wrapTopAndBottom/>
            <wp:docPr id="927803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0378"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4732655"/>
                    </a:xfrm>
                    <a:prstGeom prst="rect">
                      <a:avLst/>
                    </a:prstGeom>
                  </pic:spPr>
                </pic:pic>
              </a:graphicData>
            </a:graphic>
          </wp:anchor>
        </w:drawing>
      </w:r>
      <w:r w:rsidRPr="004E4ED5">
        <w:rPr>
          <w:rFonts w:asciiTheme="minorHAnsi" w:hAnsiTheme="minorHAnsi" w:cstheme="minorHAnsi"/>
          <w:b/>
          <w:bCs/>
          <w:sz w:val="24"/>
          <w:szCs w:val="24"/>
        </w:rPr>
        <w:t>Graf: Boj o dračí podíl na čínském hotelovém trhu</w:t>
      </w:r>
    </w:p>
    <w:p w14:paraId="6391E658" w14:textId="77777777" w:rsidR="004E4ED5" w:rsidRDefault="004E4ED5" w:rsidP="00CB6DEB">
      <w:pPr>
        <w:rPr>
          <w:bCs/>
        </w:rPr>
      </w:pPr>
    </w:p>
    <w:p w14:paraId="04E0E736" w14:textId="77777777" w:rsidR="004E4ED5" w:rsidRPr="004E4ED5" w:rsidRDefault="004E4ED5" w:rsidP="004E4ED5">
      <w:pPr>
        <w:spacing w:after="210" w:line="276" w:lineRule="auto"/>
        <w:rPr>
          <w:bCs/>
        </w:rPr>
      </w:pPr>
      <w:r w:rsidRPr="004E4ED5">
        <w:rPr>
          <w:bCs/>
        </w:rPr>
        <w:t xml:space="preserve">Ve </w:t>
      </w:r>
      <w:proofErr w:type="spellStart"/>
      <w:r w:rsidRPr="004E4ED5">
        <w:rPr>
          <w:bCs/>
        </w:rPr>
        <w:t>Fidelity</w:t>
      </w:r>
      <w:proofErr w:type="spellEnd"/>
      <w:r w:rsidRPr="004E4ED5">
        <w:rPr>
          <w:bCs/>
        </w:rPr>
        <w:t xml:space="preserve"> International se díváme na změny kombinovaného tržního podílu čtyř největších čínských provozovatelů hotelů podle počtu pokojů v průběhu let. Nyní hoteliéři vstupují do fáze konsolidace, přičemž společnost </w:t>
      </w:r>
      <w:proofErr w:type="spellStart"/>
      <w:r w:rsidRPr="004E4ED5">
        <w:rPr>
          <w:bCs/>
        </w:rPr>
        <w:t>Fidelity</w:t>
      </w:r>
      <w:proofErr w:type="spellEnd"/>
      <w:r w:rsidRPr="004E4ED5">
        <w:rPr>
          <w:bCs/>
        </w:rPr>
        <w:t xml:space="preserve"> očekává od roku 2024 rychlejší růst mezi největšími jmény.</w:t>
      </w:r>
    </w:p>
    <w:p w14:paraId="436DE550" w14:textId="77777777" w:rsidR="004E4ED5" w:rsidRPr="004E4ED5" w:rsidRDefault="004E4ED5" w:rsidP="004E4ED5">
      <w:pPr>
        <w:spacing w:after="210" w:line="276" w:lineRule="auto"/>
        <w:rPr>
          <w:bCs/>
        </w:rPr>
      </w:pPr>
      <w:r w:rsidRPr="004E4ED5">
        <w:rPr>
          <w:bCs/>
        </w:rPr>
        <w:t xml:space="preserve">V současné době vlastní čtyři největší hráči něco přes desetinu všech hotelových pokojů v Číně, což je více než dvojnásobek jejich podílu v roce 2018. Na základě seznamu potenciálních franšíz se domníváme, že tito giganti by mohli v příštích pěti letech svůj společný podíl na trhu ještě zdvojnásobit. </w:t>
      </w:r>
    </w:p>
    <w:p w14:paraId="6A4525B9" w14:textId="77777777" w:rsidR="00B738CA" w:rsidRPr="00B738CA" w:rsidRDefault="00B738CA" w:rsidP="00B738CA">
      <w:pPr>
        <w:spacing w:after="210" w:line="276" w:lineRule="auto"/>
        <w:rPr>
          <w:bCs/>
        </w:rPr>
      </w:pPr>
      <w:r w:rsidRPr="00B738CA">
        <w:rPr>
          <w:bCs/>
        </w:rPr>
        <w:t>Růst povědomí o značkách mezi čínskými spotřebiteli urychluje konsolidaci. Jak ukazuje graf, kombinovaný podíl všech ostatních značek v posledních několika letech také poskočil, a to především na úkor malých, nezávislých provozovatelů. Od roku 2020 ukončily fungování tisíce těchto menších hoteliérů kvůli covidu, slabší poptávce nebo tvrdší konkurenci.</w:t>
      </w:r>
    </w:p>
    <w:p w14:paraId="69F88080" w14:textId="77777777" w:rsidR="00B738CA" w:rsidRPr="00B738CA" w:rsidRDefault="00B738CA" w:rsidP="00B738CA">
      <w:pPr>
        <w:spacing w:line="276" w:lineRule="auto"/>
        <w:rPr>
          <w:bCs/>
        </w:rPr>
      </w:pPr>
      <w:r w:rsidRPr="00B738CA">
        <w:rPr>
          <w:bCs/>
        </w:rPr>
        <w:t xml:space="preserve">Při nedávných průzkumech v terénu jsme zaznamenali růst poptávky po hotelových aktivech mezi čínskými investory. Ti považují franšízové hotely v podmínkách oslabené ekonomiky za relativně bezpečnou investici a stále víc se snaží zapojit do sítí špičkových značek. Někteří z nich považují franšízové hotely za spolehlivý způsob, jak předat bohatství svým dětem. </w:t>
      </w:r>
    </w:p>
    <w:p w14:paraId="4C4A212A" w14:textId="77777777" w:rsidR="00B738CA" w:rsidRDefault="00B738CA" w:rsidP="00B738CA">
      <w:pPr>
        <w:spacing w:line="276" w:lineRule="auto"/>
        <w:rPr>
          <w:bCs/>
        </w:rPr>
      </w:pPr>
      <w:r w:rsidRPr="00B738CA">
        <w:rPr>
          <w:bCs/>
        </w:rPr>
        <w:t>Dlouhý životní cyklus hotelových projektů, obvykle 12 až 15 let, umožňuje investorům zafixovat náklady na nájemné a zároveň se těšit z inflace cen pokojů. Tato strategie se stala ještě atraktivnější díky poklesu na trhu s nemovitostmi v Číně, který zlevnil pronájem nemovitostí pro hotelové účely.</w:t>
      </w:r>
    </w:p>
    <w:p w14:paraId="2E700EAE" w14:textId="24F196EA" w:rsidR="00A83207" w:rsidRPr="00B738CA" w:rsidRDefault="00B738CA" w:rsidP="00B738CA">
      <w:pPr>
        <w:rPr>
          <w:bCs/>
        </w:rPr>
      </w:pPr>
      <w:r w:rsidRPr="00B738CA">
        <w:rPr>
          <w:bCs/>
        </w:rPr>
        <w:t>Expanze ve slabé ekonomice může vyvíjet tlak na ziskové marže a úvěrovou kvalitu provozovatelů hotelů, ale dlouhodobá návratnost pro případné vítěze (pozor na silné značky a zdravé rozvahy) může být obrovská.</w:t>
      </w:r>
    </w:p>
    <w:p w14:paraId="52CB6237" w14:textId="77777777" w:rsidR="004A3533" w:rsidRPr="004A3533" w:rsidRDefault="004A3533" w:rsidP="004A353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 xml:space="preserve">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3BB0D6" w14:textId="77777777" w:rsidR="006E78BA" w:rsidRDefault="006E78BA" w:rsidP="006E78BA">
      <w:pPr>
        <w:pStyle w:val="F2-zkladn"/>
        <w:rPr>
          <w:lang w:eastAsia="en-US"/>
        </w:rPr>
      </w:pP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lastRenderedPageBreak/>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37B7044" w14:textId="633F0472" w:rsidR="00191AE8" w:rsidRDefault="00B738CA" w:rsidP="00B738CA">
      <w:pPr>
        <w:pStyle w:val="F2-zkladn"/>
      </w:pPr>
      <w:r w:rsidRPr="00B738CA">
        <w:t>MKAT11985</w:t>
      </w:r>
    </w:p>
    <w:sectPr w:rsidR="00191AE8" w:rsidSect="00825488">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59DB" w14:textId="77777777" w:rsidR="00825488" w:rsidRDefault="00825488">
      <w:r>
        <w:separator/>
      </w:r>
    </w:p>
  </w:endnote>
  <w:endnote w:type="continuationSeparator" w:id="0">
    <w:p w14:paraId="48977A06" w14:textId="77777777" w:rsidR="00825488" w:rsidRDefault="0082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4D2C" w14:textId="77777777" w:rsidR="00825488" w:rsidRDefault="00825488">
      <w:r>
        <w:separator/>
      </w:r>
    </w:p>
  </w:footnote>
  <w:footnote w:type="continuationSeparator" w:id="0">
    <w:p w14:paraId="3E67EC1E" w14:textId="77777777" w:rsidR="00825488" w:rsidRDefault="00825488">
      <w:r>
        <w:continuationSeparator/>
      </w:r>
    </w:p>
  </w:footnote>
  <w:footnote w:type="continuationNotice" w:id="1">
    <w:p w14:paraId="4F633374" w14:textId="77777777" w:rsidR="00825488" w:rsidRDefault="0082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1AE8"/>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5784C"/>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6644</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7755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2024-01-24T15:47:00Z</dcterms:created>
  <dcterms:modified xsi:type="dcterms:W3CDTF">2024-01-25T09:37:00Z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